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F7777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F7777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</w:tcPr>
          <w:p w:rsidR="005F7777" w:rsidRDefault="002A00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OHL41900001</w:t>
            </w:r>
          </w:p>
        </w:tc>
      </w:tr>
      <w:tr w:rsidR="005F7777">
        <w:trPr>
          <w:trHeight w:val="299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nádrž Kryry (OHL31900001)</w:t>
            </w:r>
          </w:p>
        </w:tc>
      </w:tr>
      <w:tr w:rsidR="005F7777">
        <w:trPr>
          <w:trHeight w:val="6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001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F7777">
        <w:trPr>
          <w:trHeight w:val="378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OHL_0630</w:t>
            </w:r>
          </w:p>
        </w:tc>
      </w:tr>
      <w:tr w:rsidR="005F7777">
        <w:trPr>
          <w:trHeight w:val="411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Kryry, Petrohrad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Kryry, Černčice u Petrohradu, Petrohrad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</w:tcPr>
          <w:p w:rsidR="005F7777" w:rsidRDefault="00DE1A3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Pr="00DE1A38">
              <w:rPr>
                <w:rFonts w:ascii="Arial" w:hAnsi="Arial" w:cs="Arial"/>
                <w:sz w:val="20"/>
                <w:szCs w:val="20"/>
              </w:rPr>
              <w:t>-811622</w:t>
            </w:r>
            <w:r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Pr="00DE1A38">
              <w:rPr>
                <w:rFonts w:ascii="Arial" w:hAnsi="Arial" w:cs="Arial"/>
                <w:sz w:val="20"/>
                <w:szCs w:val="20"/>
              </w:rPr>
              <w:t>-811283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</w:tcPr>
          <w:p w:rsidR="005F7777" w:rsidRDefault="00DE1A3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2A003D">
              <w:rPr>
                <w:rFonts w:ascii="Arial" w:hAnsi="Arial" w:cs="Arial"/>
                <w:sz w:val="20"/>
                <w:szCs w:val="20"/>
              </w:rPr>
              <w:t>-</w:t>
            </w:r>
            <w:r w:rsidRPr="00DE1A38">
              <w:rPr>
                <w:rFonts w:ascii="Arial" w:hAnsi="Arial" w:cs="Arial"/>
                <w:sz w:val="20"/>
                <w:szCs w:val="20"/>
              </w:rPr>
              <w:t>1024490</w:t>
            </w:r>
            <w:r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Pr="00DE1A38">
              <w:rPr>
                <w:rFonts w:ascii="Arial" w:hAnsi="Arial" w:cs="Arial"/>
                <w:sz w:val="20"/>
                <w:szCs w:val="20"/>
              </w:rPr>
              <w:t>-1027233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:rsidR="005F7777" w:rsidRDefault="00DE1A3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1,2 do 4,6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5F7777">
        <w:trPr>
          <w:trHeight w:val="412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5F7777">
        <w:trPr>
          <w:trHeight w:val="412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Hydrologické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změny - jiné</w:t>
            </w:r>
            <w:proofErr w:type="gramEnd"/>
          </w:p>
        </w:tc>
      </w:tr>
      <w:tr w:rsidR="005F7777">
        <w:trPr>
          <w:trHeight w:val="404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page">
                        <wp:posOffset>-924242</wp:posOffset>
                      </wp:positionH>
                      <wp:positionV relativeFrom="paragraph">
                        <wp:posOffset>251460</wp:posOffset>
                      </wp:positionV>
                      <wp:extent cx="7609205" cy="4420870"/>
                      <wp:effectExtent l="0" t="0" r="0" b="0"/>
                      <wp:wrapNone/>
                      <wp:docPr id="3" name="Obrázek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96DAC541-7B7A-43D3-8B79-37D633B846F1}">
                                    <asvg:svgBlip xmlns:asvg="http://schemas.microsoft.com/office/drawing/2016/SVG/main" r:embed="rId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7609205" cy="44208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position:absolute;z-index:-251667456;o:allowoverlap:true;o:allowincell:true;mso-position-horizontal-relative:page;margin-left:-72.77pt;mso-position-horizontal:absolute;mso-position-vertical-relative:text;margin-top:19.80pt;mso-position-vertical:absolute;width:599.15pt;height:348.10pt;mso-wrap-distance-left:9.00pt;mso-wrap-distance-top:0.00pt;mso-wrap-distance-right:9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5F7777">
        <w:trPr>
          <w:trHeight w:val="404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Přizpůsobení se změně klimatu.</w:t>
            </w:r>
          </w:p>
        </w:tc>
      </w:tr>
      <w:tr w:rsidR="005F7777">
        <w:trPr>
          <w:trHeight w:val="63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Efektivnost využívání vody, technická opatření pro zavlažování, průmysl, energetiku a domácnosti.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kvantitativní stav útvaru podzemní vody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státní podnik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Náklady investiční celkové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8 300 000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státní rozpočet + dotace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Doupovské hory, EVL Hradiště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Lokalizace vlivu 1 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IDVT 10284082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Lokalizace vlivu 2</w:t>
            </w:r>
          </w:p>
        </w:tc>
        <w:tc>
          <w:tcPr>
            <w:tcW w:w="6090" w:type="dxa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Způsob hodnocení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realizovanosti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</w:t>
            </w:r>
          </w:p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:rsidR="005F7777" w:rsidRDefault="002A00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opatření</w:t>
            </w:r>
          </w:p>
        </w:tc>
      </w:tr>
      <w:tr w:rsidR="005F7777">
        <w:trPr>
          <w:trHeight w:val="3531"/>
        </w:trPr>
        <w:tc>
          <w:tcPr>
            <w:tcW w:w="2972" w:type="dxa"/>
            <w:vMerge w:val="restart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Povodí Blšanky, pravostranného přítoku Ohře pod Žatcem, je dlouhodobě jedním z nejsušších v Česku. Spolu  se sousedním povodím Rakovnického potoka v povodí  Berounky se setrvale potýká s nedostatkem vody ve vodních tocích, a tím               i špatnou dostupností vody pro uživatele (zemědělství, průmysl). Standardem jsou pravidelné  zákazy odběrů vody v letním období. V posledních letech vyústila do záměru vybudovat v ohrožené oblasti opatření (část v povodí Blšanky, část v povodí Rakovnického potoka), která vylepší vodní bilanci v oblasti a zlepší dostupnost vody. </w:t>
            </w:r>
          </w:p>
          <w:p w:rsidR="005F7777" w:rsidRDefault="002A00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Usnesení vlády č. 256 ze dne 15. dubna 2019, o návrhu komplexního řešení sucha, ukládá úkoly v souvislosti s komplexním řešením sucha v ohrožených oblastech. Jedná se o technická                  a přírodě blízká opatření. Opatření nyní připravují státní podniky Povodí Ohře a Povodí Vltavy.</w:t>
            </w:r>
          </w:p>
        </w:tc>
      </w:tr>
      <w:tr w:rsidR="005F7777">
        <w:trPr>
          <w:trHeight w:val="1965"/>
        </w:trPr>
        <w:tc>
          <w:tcPr>
            <w:tcW w:w="2972" w:type="dxa"/>
            <w:vMerge/>
            <w:vAlign w:val="center"/>
          </w:tcPr>
          <w:p w:rsidR="005F7777" w:rsidRDefault="005F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5F7777" w:rsidRDefault="002A00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Cíl: </w:t>
            </w:r>
            <w:r>
              <w:rPr>
                <w:rFonts w:ascii="Arial" w:hAnsi="Arial" w:cs="Arial"/>
                <w:sz w:val="20"/>
                <w:szCs w:val="20"/>
              </w:rPr>
              <w:t xml:space="preserve">Na základě usnesení vlády probíhá příprava výstavby VD Kryry, investorem je Povodí Ohře, státní podnik. </w:t>
            </w:r>
          </w:p>
          <w:p w:rsidR="005F7777" w:rsidRDefault="002A00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období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2020 - 2025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bylo dokončeno majetkoprávní vypořádání a to vč. předprojektové přípravy. Došlo ke zpracování podkladů pro podání žádosti o přidělení dotačního titulu 129 430 „Podpora opatření pro zmírnění dopadů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sucha - projektová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příprava a realizace investic“, Povodí Ohře,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s.p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obdržel v této souvislosti souhlas se zařazením projektu do uvedeného programu. </w:t>
            </w:r>
          </w:p>
          <w:p w:rsidR="005F7777" w:rsidRDefault="002A00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období 2026 2035 bude probíhat projektová příprava a to vč. získaní potřebných souhlasů a povolení. </w:t>
            </w:r>
          </w:p>
          <w:p w:rsidR="005F7777" w:rsidRDefault="002A00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období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2035 - 2042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se předpokládá s realizací stavby vodního díla a s jeho uvedením do provozu v roce 2042. </w:t>
            </w:r>
          </w:p>
          <w:p w:rsidR="005F7777" w:rsidRDefault="005F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bookmarkStart w:id="1" w:name="_GoBack"/>
        <w:bookmarkEnd w:id="1"/>
      </w:tr>
      <w:tr w:rsidR="005F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DE1A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3CFB8198" wp14:editId="17A77166">
                  <wp:simplePos x="0" y="0"/>
                  <wp:positionH relativeFrom="page">
                    <wp:posOffset>-941070</wp:posOffset>
                  </wp:positionH>
                  <wp:positionV relativeFrom="paragraph">
                    <wp:posOffset>-633095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/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A00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Cyklus plánů, ve kterém bylo opatření 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F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DE1A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F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2042</w:t>
            </w:r>
          </w:p>
        </w:tc>
      </w:tr>
      <w:tr w:rsidR="005F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2044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5F7777">
        <w:trPr>
          <w:trHeight w:val="392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:rsidR="005F7777" w:rsidRDefault="002A0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2027 až 2033</w:t>
            </w:r>
          </w:p>
        </w:tc>
      </w:tr>
      <w:tr w:rsidR="005F7777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probíhá </w:t>
            </w:r>
          </w:p>
        </w:tc>
      </w:tr>
    </w:tbl>
    <w:p w:rsidR="005F7777" w:rsidRDefault="002A003D">
      <w:r>
        <w:rPr>
          <w:noProof/>
        </w:rPr>
        <w:drawing>
          <wp:anchor distT="0" distB="0" distL="114300" distR="114300" simplePos="0" relativeHeight="251665408" behindDoc="1" locked="0" layoutInCell="1" allowOverlap="1" wp14:editId="721C601A">
            <wp:simplePos x="0" y="0"/>
            <wp:positionH relativeFrom="page">
              <wp:posOffset>-44450</wp:posOffset>
            </wp:positionH>
            <wp:positionV relativeFrom="paragraph">
              <wp:posOffset>4475480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F7777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F8BD85A" w16cex:dateUtc="2026-01-08T10:36:2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777" w:rsidRDefault="002A003D">
      <w:pPr>
        <w:spacing w:after="0" w:line="240" w:lineRule="auto"/>
      </w:pPr>
      <w:r>
        <w:separator/>
      </w:r>
    </w:p>
  </w:endnote>
  <w:endnote w:type="continuationSeparator" w:id="0">
    <w:p w:rsidR="005F7777" w:rsidRDefault="002A0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77" w:rsidRDefault="002A003D">
    <w:pPr>
      <w:pStyle w:val="Zpat"/>
      <w:rPr>
        <w:color w:val="0070C0"/>
      </w:rPr>
    </w:pPr>
    <w:r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5F7777" w:rsidRDefault="002A003D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1" o:spid="_x0000_s1" o:spt="5" type="#_x0000_t5" style="position:absolute;z-index:251659264;o:allowoverlap:true;o:allowincell:true;mso-position-horizontal-relative:right-margin-area;mso-position-horizontal:left;mso-position-vertical-relative:page;mso-position-vertical:bottom;width:71.40pt;height:64.30pt;mso-wrap-distance-left:9.00pt;mso-wrap-distance-top:0.00pt;mso-wrap-distance-right:9.00pt;mso-wrap-distance-bottom:0.00pt;v-text-anchor:top;visibility:visible;" fillcolor="#DBE9F5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 xml:space="preserve">PAGE    \* MERGEFORMAT</w:instrText>
                    </w: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t xml:space="preserve">2</w:t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777" w:rsidRDefault="002A003D">
      <w:pPr>
        <w:spacing w:after="0" w:line="240" w:lineRule="auto"/>
      </w:pPr>
      <w:r>
        <w:separator/>
      </w:r>
    </w:p>
  </w:footnote>
  <w:footnote w:type="continuationSeparator" w:id="0">
    <w:p w:rsidR="005F7777" w:rsidRDefault="002A0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77" w:rsidRDefault="002A003D">
    <w:pPr>
      <w:pStyle w:val="Zhlav"/>
      <w:rPr>
        <w:rFonts w:ascii="Arial" w:hAnsi="Arial" w:cs="Arial"/>
        <w:b/>
        <w:color w:val="3296DA"/>
      </w:rPr>
    </w:pPr>
    <w:r>
      <w:rPr>
        <w:rFonts w:ascii="Arial" w:hAnsi="Arial" w:cs="Arial"/>
        <w:b/>
        <w:noProof/>
        <w:color w:val="153553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-306705</wp:posOffset>
              </wp:positionV>
              <wp:extent cx="593725" cy="751205"/>
              <wp:effectExtent l="0" t="0" r="0" b="0"/>
              <wp:wrapNone/>
              <wp:docPr id="1" name="Obrázek 3" descr="C:\Users\Vlkova\AppData\Local\Temp\notesD4248F\logotyp_symbol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Vlkova\AppData\Local\Temp\notesD4248F\logotyp_symbol.bmp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3725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0288;o:allowoverlap:true;o:allowincell:true;mso-position-horizontal-relative:margin;mso-position-horizontal:left;mso-position-vertical-relative:text;margin-top:-24.15pt;mso-position-vertical:absolute;width:46.75pt;height:59.1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b/>
        <w:color w:val="153553"/>
      </w:rPr>
      <w:t xml:space="preserve">               </w:t>
    </w:r>
    <w:r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>
      <w:rPr>
        <w:rFonts w:ascii="Arial" w:hAnsi="Arial" w:cs="Arial"/>
        <w:b/>
        <w:color w:val="3296DA"/>
      </w:rPr>
      <w:t>2027 – 2033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multilevel"/>
    <w:tmpl w:val="5FCC7C0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multilevel"/>
    <w:tmpl w:val="36CA2D58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multilevel"/>
    <w:tmpl w:val="0832E8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77"/>
    <w:rsid w:val="002A003D"/>
    <w:rsid w:val="005F7777"/>
    <w:rsid w:val="00DE1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C605F"/>
  <w15:docId w15:val="{BFA0F2D2-7472-4214-B6E7-8DF332D77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0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00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7CF20-D773-49A8-B3E4-A21340BC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538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18</cp:revision>
  <dcterms:created xsi:type="dcterms:W3CDTF">2021-06-08T07:52:00Z</dcterms:created>
  <dcterms:modified xsi:type="dcterms:W3CDTF">2026-03-23T12:54:00Z</dcterms:modified>
</cp:coreProperties>
</file>